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A94FFE" w14:textId="536FA80F" w:rsidR="009E4DF7" w:rsidRPr="009E4DF7" w:rsidRDefault="00A56B06" w:rsidP="009E4DF7">
      <w:pPr>
        <w:suppressAutoHyphens w:val="0"/>
        <w:jc w:val="left"/>
        <w:rPr>
          <w:rFonts w:ascii="Calibri" w:eastAsia="Calibri" w:hAnsi="Calibri" w:cs="Times New Roman"/>
          <w:b/>
          <w:bCs/>
          <w:lang w:eastAsia="en-US"/>
        </w:rPr>
      </w:pPr>
      <w:r>
        <w:rPr>
          <w:rFonts w:ascii="Calibri" w:eastAsia="Calibri" w:hAnsi="Calibri" w:cs="Times New Roman"/>
          <w:b/>
          <w:bCs/>
          <w:lang w:eastAsia="en-US"/>
        </w:rPr>
        <w:t>TRANSPORDIAMET</w:t>
      </w:r>
    </w:p>
    <w:p w14:paraId="646EC32D" w14:textId="15994907" w:rsidR="009E4DF7" w:rsidRPr="00754D5C" w:rsidRDefault="00A56B06" w:rsidP="009E4DF7">
      <w:pPr>
        <w:suppressAutoHyphens w:val="0"/>
        <w:jc w:val="left"/>
        <w:rPr>
          <w:rFonts w:ascii="Calibri" w:eastAsia="Calibri" w:hAnsi="Calibri" w:cs="Times New Roman"/>
          <w:lang w:eastAsia="en-US"/>
        </w:rPr>
      </w:pPr>
      <w:r w:rsidRPr="00754D5C">
        <w:rPr>
          <w:rFonts w:ascii="Calibri" w:eastAsia="Calibri" w:hAnsi="Calibri" w:cs="Times New Roman"/>
          <w:lang w:eastAsia="en-US"/>
        </w:rPr>
        <w:t>Valge 4, 11413 Tallinn</w:t>
      </w:r>
    </w:p>
    <w:p w14:paraId="234A6B7E" w14:textId="77777777" w:rsidR="00EA609A" w:rsidRDefault="009E4DF7" w:rsidP="00EC08DD">
      <w:pPr>
        <w:suppressAutoHyphens w:val="0"/>
        <w:jc w:val="left"/>
      </w:pPr>
      <w:hyperlink r:id="rId8" w:history="1">
        <w:r w:rsidRPr="00754D5C">
          <w:rPr>
            <w:rStyle w:val="Hyperlink"/>
            <w:rFonts w:ascii="Calibri" w:eastAsia="Calibri" w:hAnsi="Calibri" w:cs="Times New Roman"/>
            <w:lang w:eastAsia="en-US"/>
          </w:rPr>
          <w:t>info@transpordiamet.ee</w:t>
        </w:r>
      </w:hyperlink>
    </w:p>
    <w:p w14:paraId="5585DB5B" w14:textId="00929C79" w:rsidR="00754D5C" w:rsidRPr="00754D5C" w:rsidRDefault="000F055C" w:rsidP="00EC08DD">
      <w:pPr>
        <w:suppressAutoHyphens w:val="0"/>
        <w:jc w:val="left"/>
        <w:rPr>
          <w:rFonts w:ascii="Calibri" w:eastAsia="Calibri" w:hAnsi="Calibri" w:cs="Times New Roman"/>
          <w:lang w:eastAsia="en-US"/>
        </w:rPr>
      </w:pPr>
      <w:hyperlink r:id="rId9" w:history="1">
        <w:r w:rsidRPr="002E1916">
          <w:rPr>
            <w:rStyle w:val="Hyperlink"/>
            <w:rFonts w:ascii="Calibri" w:eastAsia="Calibri" w:hAnsi="Calibri" w:cs="Times New Roman"/>
            <w:lang w:eastAsia="en-US"/>
          </w:rPr>
          <w:t>ivar.unt@transpordiamet.ee</w:t>
        </w:r>
      </w:hyperlink>
      <w:r>
        <w:rPr>
          <w:rFonts w:ascii="Calibri" w:eastAsia="Calibri" w:hAnsi="Calibri" w:cs="Times New Roman"/>
          <w:lang w:eastAsia="en-US"/>
        </w:rPr>
        <w:t xml:space="preserve"> </w:t>
      </w:r>
    </w:p>
    <w:p w14:paraId="3470EE1A" w14:textId="2CF2F874" w:rsidR="009E4DF7" w:rsidRPr="009E4DF7" w:rsidRDefault="00390F2F" w:rsidP="00754D5C">
      <w:pPr>
        <w:suppressAutoHyphens w:val="0"/>
        <w:jc w:val="right"/>
        <w:rPr>
          <w:rFonts w:ascii="Calibri" w:eastAsia="Calibri" w:hAnsi="Calibri" w:cs="Times New Roman"/>
          <w:b/>
          <w:bCs/>
          <w:lang w:eastAsia="en-US"/>
        </w:rPr>
      </w:pPr>
      <w:r>
        <w:rPr>
          <w:rFonts w:ascii="Calibri" w:eastAsia="Calibri" w:hAnsi="Calibri" w:cs="Times New Roman"/>
          <w:lang w:eastAsia="en-US"/>
        </w:rPr>
        <w:t>17.04.2026 nr T800-1/</w:t>
      </w:r>
      <w:r w:rsidR="003F4AF3">
        <w:rPr>
          <w:rFonts w:ascii="Calibri" w:eastAsia="Calibri" w:hAnsi="Calibri" w:cs="Times New Roman"/>
          <w:lang w:eastAsia="en-US"/>
        </w:rPr>
        <w:t>108</w:t>
      </w:r>
    </w:p>
    <w:p w14:paraId="6B6B3090" w14:textId="77777777" w:rsidR="009E4DF7" w:rsidRPr="009E4DF7" w:rsidRDefault="009E4DF7" w:rsidP="009E4DF7">
      <w:pPr>
        <w:suppressAutoHyphens w:val="0"/>
        <w:spacing w:after="160" w:line="259" w:lineRule="auto"/>
        <w:jc w:val="left"/>
        <w:rPr>
          <w:rFonts w:ascii="Calibri" w:eastAsia="Calibri" w:hAnsi="Calibri" w:cs="Times New Roman"/>
          <w:lang w:eastAsia="en-US"/>
        </w:rPr>
      </w:pPr>
    </w:p>
    <w:p w14:paraId="6A823B5C" w14:textId="77777777" w:rsidR="0045208A" w:rsidRDefault="0045208A" w:rsidP="009E4DF7">
      <w:pPr>
        <w:suppressAutoHyphens w:val="0"/>
        <w:jc w:val="left"/>
        <w:rPr>
          <w:rFonts w:ascii="Calibri" w:eastAsia="Calibri" w:hAnsi="Calibri" w:cs="Times New Roman"/>
          <w:b/>
          <w:bCs/>
          <w:lang w:eastAsia="en-US"/>
        </w:rPr>
      </w:pPr>
    </w:p>
    <w:p w14:paraId="6A3A8DF3" w14:textId="0CFE19B6" w:rsidR="00754D5C" w:rsidRDefault="00A56B06" w:rsidP="009E4DF7">
      <w:pPr>
        <w:suppressAutoHyphens w:val="0"/>
        <w:jc w:val="left"/>
        <w:rPr>
          <w:rFonts w:ascii="Calibri" w:eastAsia="Calibri" w:hAnsi="Calibri" w:cs="Times New Roman"/>
          <w:b/>
          <w:bCs/>
          <w:lang w:eastAsia="en-US"/>
        </w:rPr>
      </w:pPr>
      <w:r w:rsidRPr="00754D5C">
        <w:rPr>
          <w:rFonts w:ascii="Calibri" w:eastAsia="Calibri" w:hAnsi="Calibri" w:cs="Times New Roman"/>
          <w:b/>
          <w:bCs/>
          <w:lang w:eastAsia="en-US"/>
        </w:rPr>
        <w:t>TEADE JA ETTEPANEK RIIGITEEDE KORRASHOIULEPINGU nr 3.2-3/25/591-1 MUUTMISEKS</w:t>
      </w:r>
    </w:p>
    <w:p w14:paraId="230C4375" w14:textId="77777777" w:rsidR="00754D5C" w:rsidRDefault="00754D5C" w:rsidP="009E4DF7">
      <w:pPr>
        <w:suppressAutoHyphens w:val="0"/>
        <w:jc w:val="left"/>
        <w:rPr>
          <w:rFonts w:ascii="Calibri" w:eastAsia="Calibri" w:hAnsi="Calibri" w:cs="Times New Roman"/>
          <w:b/>
          <w:bCs/>
          <w:lang w:eastAsia="en-US"/>
        </w:rPr>
      </w:pPr>
    </w:p>
    <w:p w14:paraId="7D7DBEAE" w14:textId="77777777" w:rsidR="009E4DF7" w:rsidRPr="009E4DF7" w:rsidRDefault="00A56B06" w:rsidP="009E4DF7">
      <w:pPr>
        <w:suppressAutoHyphens w:val="0"/>
        <w:spacing w:after="160" w:line="259" w:lineRule="auto"/>
        <w:rPr>
          <w:rFonts w:ascii="Calibri" w:eastAsia="Calibri" w:hAnsi="Calibri" w:cs="Times New Roman"/>
          <w:lang w:eastAsia="en-US"/>
        </w:rPr>
      </w:pPr>
      <w:r w:rsidRPr="009E4DF7">
        <w:rPr>
          <w:rFonts w:ascii="Calibri" w:eastAsia="Calibri" w:hAnsi="Calibri" w:cs="Times New Roman"/>
          <w:lang w:eastAsia="en-US"/>
        </w:rPr>
        <w:t>Hea lepingupartner,</w:t>
      </w:r>
    </w:p>
    <w:p w14:paraId="075FDCE0" w14:textId="7AB6488B" w:rsidR="00754D5C" w:rsidRPr="00754D5C" w:rsidRDefault="00A56B06" w:rsidP="00754D5C">
      <w:pPr>
        <w:suppressAutoHyphens w:val="0"/>
        <w:spacing w:after="160" w:line="259" w:lineRule="auto"/>
        <w:rPr>
          <w:rFonts w:ascii="Calibri" w:eastAsia="Calibri" w:hAnsi="Calibri" w:cs="Times New Roman"/>
          <w:lang w:eastAsia="en-US"/>
        </w:rPr>
      </w:pPr>
      <w:r w:rsidRPr="00754D5C">
        <w:rPr>
          <w:rFonts w:ascii="Calibri" w:eastAsia="Calibri" w:hAnsi="Calibri" w:cs="Times New Roman"/>
          <w:lang w:eastAsia="en-US"/>
        </w:rPr>
        <w:t>Teatame käesolevaga, et seoses Lähis-Ida konfliktist tingitud erakorraliste asjaoludega on</w:t>
      </w:r>
      <w:r w:rsidRPr="00754D5C">
        <w:t xml:space="preserve"> </w:t>
      </w:r>
      <w:r>
        <w:rPr>
          <w:rFonts w:ascii="Calibri" w:eastAsia="Calibri" w:hAnsi="Calibri" w:cs="Times New Roman"/>
          <w:lang w:eastAsia="en-US"/>
        </w:rPr>
        <w:t xml:space="preserve">Valga hooldepiirkonna riigiteede korrashoiu hankelepingu täitmine algsetel tingimustel muutunud AS TREV-2 Grupp (edaspidi: </w:t>
      </w:r>
      <w:r w:rsidRPr="00754D5C">
        <w:rPr>
          <w:rFonts w:ascii="Calibri" w:eastAsia="Calibri" w:hAnsi="Calibri" w:cs="Times New Roman"/>
          <w:i/>
          <w:iCs/>
          <w:lang w:eastAsia="en-US"/>
        </w:rPr>
        <w:t>Teehooldaja</w:t>
      </w:r>
      <w:r w:rsidRPr="00754D5C">
        <w:rPr>
          <w:rFonts w:ascii="Calibri" w:eastAsia="Calibri" w:hAnsi="Calibri" w:cs="Times New Roman"/>
          <w:lang w:eastAsia="en-US"/>
        </w:rPr>
        <w:t>) jaoks äärmiselt koormavaks. Vastavalt VÕS § 23 lõikele 2 on lepingupooltel kohustus teha teineteisega koostööd, mis on vajalik kohustuste täitmiseks, ning juhinduda seejuures hea usu ja mõistlikkuse põhimõtetest (VÕS § 6 lg 1, VÕS § 7 lg 1).</w:t>
      </w:r>
    </w:p>
    <w:p w14:paraId="26140692" w14:textId="1C9FB58A" w:rsidR="00754D5C" w:rsidRDefault="00A56B06" w:rsidP="00754D5C">
      <w:pPr>
        <w:suppressAutoHyphens w:val="0"/>
        <w:spacing w:after="160" w:line="259" w:lineRule="auto"/>
        <w:rPr>
          <w:rFonts w:ascii="Calibri" w:eastAsia="Calibri" w:hAnsi="Calibri" w:cs="Times New Roman"/>
          <w:lang w:eastAsia="en-US"/>
        </w:rPr>
      </w:pPr>
      <w:r w:rsidRPr="00754D5C">
        <w:rPr>
          <w:rFonts w:ascii="Calibri" w:eastAsia="Calibri" w:hAnsi="Calibri" w:cs="Times New Roman"/>
          <w:lang w:eastAsia="en-US"/>
        </w:rPr>
        <w:t>Lepingupoolte kohustuste vahekord on pärast lepingu sõlmimist oluliselt muutunud (VÕS § 97 lg 1). Lähis-Ida konflikt on kaasa toonud ettenägematu ja drastilise kütuse, bituumenemulsiooni ning bituumeni hindade tõusu, mis suurendab oluliselt Teehooldaja kulusid tööde teostamisel. Mitmed koostööpartnerid on Teehooldajat juba informeerinud materjalide olulisest kallinemisest, kusjuures hinnatõus puudutab kõiki tooteid, mille koostisosadeks on nafta ja masuut, sh nt veetorud, keevissadeveetorud, PP kanalid, sad</w:t>
      </w:r>
      <w:r w:rsidRPr="00754D5C">
        <w:rPr>
          <w:rFonts w:ascii="Calibri" w:eastAsia="Calibri" w:hAnsi="Calibri" w:cs="Times New Roman"/>
          <w:lang w:eastAsia="en-US"/>
        </w:rPr>
        <w:t xml:space="preserve">evee kanalitorud, truubitorud, kaevud, pumpla kestad, mahutid jne. Lisaks kütuse hinna tõusuga seotud tootmiskulude kasvule kallineb sisuliselt kõik, mis on seotud transpordiga. Seni teada oleva info põhjal jäävad hinnatõusud 10-30% vahemikku. </w:t>
      </w:r>
    </w:p>
    <w:p w14:paraId="0C70909F" w14:textId="11F70FD0" w:rsidR="00754D5C" w:rsidRPr="00754D5C" w:rsidRDefault="00A56B06" w:rsidP="00754D5C">
      <w:pPr>
        <w:suppressAutoHyphens w:val="0"/>
        <w:spacing w:after="160" w:line="259" w:lineRule="auto"/>
        <w:rPr>
          <w:rFonts w:ascii="Calibri" w:eastAsia="Calibri" w:hAnsi="Calibri" w:cs="Times New Roman"/>
          <w:lang w:eastAsia="en-US"/>
        </w:rPr>
      </w:pPr>
      <w:r w:rsidRPr="00754D5C">
        <w:rPr>
          <w:rFonts w:ascii="Calibri" w:eastAsia="Calibri" w:hAnsi="Calibri" w:cs="Times New Roman"/>
          <w:lang w:eastAsia="en-US"/>
        </w:rPr>
        <w:t>Tegemist on asjaoludega, mida Teehooldaja ei saanud lepingu sõlmimise ajal mõistlikult ette näha ega mõjutada ning mille riisikot Teehooldaja seaduse või lepingu kohaselt ei kanna (VÕS § 97 lg 2 p 1 - 3). Kuigi pooltevahelise lepingu punktis 7.4 on kokku lepitud tavahoolde indekseerimine tarbijahinnaindeksiga (THI) maksimaalselt 5% ulatuses (millest Transpordiamet hüvitab 2,5%), ei kata see piirmäär ega rakendusala tegelikku sisendhindade kallinemist, eriti remonttööde osas (nt ribapindamine), kus materjali</w:t>
      </w:r>
      <w:r w:rsidRPr="00754D5C">
        <w:rPr>
          <w:rFonts w:ascii="Calibri" w:eastAsia="Calibri" w:hAnsi="Calibri" w:cs="Times New Roman"/>
          <w:lang w:eastAsia="en-US"/>
        </w:rPr>
        <w:t>kulu moodustab kriitilise osa ja mis on lepingu kohaselt indekseerimata. Selline asjaolude muutus on muutnud esialgse kohustuste vahekorra Teehooldaja kahjuks oluliselt ebaõiglaseks.</w:t>
      </w:r>
    </w:p>
    <w:p w14:paraId="32AE69FB" w14:textId="479CF5CE" w:rsidR="00754D5C" w:rsidRPr="00754D5C" w:rsidRDefault="00A56B06" w:rsidP="00754D5C">
      <w:pPr>
        <w:suppressAutoHyphens w:val="0"/>
        <w:spacing w:after="160" w:line="259" w:lineRule="auto"/>
        <w:rPr>
          <w:rFonts w:ascii="Calibri" w:eastAsia="Calibri" w:hAnsi="Calibri" w:cs="Times New Roman"/>
          <w:lang w:eastAsia="en-US"/>
        </w:rPr>
      </w:pPr>
      <w:r w:rsidRPr="00754D5C">
        <w:rPr>
          <w:rFonts w:ascii="Calibri" w:eastAsia="Calibri" w:hAnsi="Calibri" w:cs="Times New Roman"/>
          <w:lang w:eastAsia="en-US"/>
        </w:rPr>
        <w:t>Eeltoodust tulenevalt esitab Teehooldaja VÕS § 97 lõike 1 alusel ettepaneku hankelepingu muutmiseks, et taastada poolte kohustuste esialgne vahekord. Teeme ettepaneku rakendada remonttööde ja perioodiliste hooldetööde puhul tasustamist töö teostamise hetkel kehtivate turuhindade alusel või kompenseerida pakkumuse ja tegeliku materjali sisseostuhinna vahe. Oleme valmis esitama tõendid hindade erinevuse kohta, lähtudes VÕS § 24 lõikest 2, mille kohaselt peab Teehooldaja tegema tulemuse saavutamiseks niisuguse</w:t>
      </w:r>
      <w:r w:rsidRPr="00754D5C">
        <w:rPr>
          <w:rFonts w:ascii="Calibri" w:eastAsia="Calibri" w:hAnsi="Calibri" w:cs="Times New Roman"/>
          <w:lang w:eastAsia="en-US"/>
        </w:rPr>
        <w:t>id pingutusi, nagu samal tegevusalal tegutsev mõistlik isik.</w:t>
      </w:r>
    </w:p>
    <w:p w14:paraId="5B74B289" w14:textId="464FF3DB" w:rsidR="00754D5C" w:rsidRDefault="00A56B06" w:rsidP="00754D5C">
      <w:pPr>
        <w:suppressAutoHyphens w:val="0"/>
        <w:spacing w:after="160" w:line="259" w:lineRule="auto"/>
        <w:rPr>
          <w:rFonts w:ascii="Calibri" w:eastAsia="Calibri" w:hAnsi="Calibri" w:cs="Times New Roman"/>
          <w:lang w:eastAsia="en-US"/>
        </w:rPr>
      </w:pPr>
      <w:r w:rsidRPr="00754D5C">
        <w:rPr>
          <w:rFonts w:ascii="Calibri" w:eastAsia="Calibri" w:hAnsi="Calibri" w:cs="Times New Roman"/>
          <w:lang w:eastAsia="en-US"/>
        </w:rPr>
        <w:t>Riigihangete seaduse (RHS) tähenduses on hankelepingu muutmine uut riigihanget korraldamata lubatud, kui muudatuse põhjustavad hoolsale hankijale ettenägematud asjaolud, tingimusel et ei muudeta lepingu üldist olemust (RHS § 123 lg 1 p 4). Käesolev hinnatõus on tingitud globaalsest julgeoleku- ja kütusekriisist, mis kvalifitseerub ettenägematu asjaoluna. Rõhutame, et hankija on RHS § 3 punkti 5 kohaselt kohustatud kasutama rahalisi vahendeid säästlikult ja otstarbekalt, mis antud kontekstis tähendab ka krii</w:t>
      </w:r>
      <w:r w:rsidRPr="00754D5C">
        <w:rPr>
          <w:rFonts w:ascii="Calibri" w:eastAsia="Calibri" w:hAnsi="Calibri" w:cs="Times New Roman"/>
          <w:lang w:eastAsia="en-US"/>
        </w:rPr>
        <w:t>tilise tähtsusega Valga hooldepiirkonna riigiteede korrashoiu jätkusuutlikkuse tagamist.</w:t>
      </w:r>
    </w:p>
    <w:p w14:paraId="1DDF4B73" w14:textId="1A5E40EA" w:rsidR="00754D5C" w:rsidRPr="00754D5C" w:rsidRDefault="00A56B06" w:rsidP="00754D5C">
      <w:pPr>
        <w:suppressAutoHyphens w:val="0"/>
        <w:spacing w:after="160" w:line="259" w:lineRule="auto"/>
        <w:rPr>
          <w:rFonts w:ascii="Calibri" w:eastAsia="Calibri" w:hAnsi="Calibri" w:cs="Times New Roman"/>
          <w:lang w:eastAsia="en-US"/>
        </w:rPr>
      </w:pPr>
      <w:r w:rsidRPr="009E4DF7">
        <w:rPr>
          <w:rFonts w:ascii="Calibri" w:eastAsia="Calibri" w:hAnsi="Calibri" w:cs="Times New Roman"/>
          <w:lang w:eastAsia="en-US"/>
        </w:rPr>
        <w:lastRenderedPageBreak/>
        <w:t>Leiame, et tekkinud olukorda tuleb käsitleda selle erakorralisuse ja ettevõtja mõjusfäärist väljumise tõttu vääramatu jõu olukorrana, mis omakorda toob kaasa lepinguliste kohustuste vahekorra olulise muutumise (st lepingu hinna korrigeerimise vajaduse).</w:t>
      </w:r>
    </w:p>
    <w:p w14:paraId="58CCA374" w14:textId="6D50F797" w:rsidR="00754D5C" w:rsidRDefault="00A56B06" w:rsidP="00754D5C">
      <w:pPr>
        <w:suppressAutoHyphens w:val="0"/>
        <w:spacing w:after="160" w:line="259" w:lineRule="auto"/>
        <w:rPr>
          <w:rFonts w:ascii="Calibri" w:eastAsia="Calibri" w:hAnsi="Calibri" w:cs="Times New Roman"/>
          <w:lang w:eastAsia="en-US"/>
        </w:rPr>
      </w:pPr>
      <w:r w:rsidRPr="005B4A2E">
        <w:rPr>
          <w:rFonts w:ascii="Calibri" w:eastAsia="Calibri" w:hAnsi="Calibri" w:cs="Times New Roman"/>
          <w:lang w:eastAsia="en-US"/>
        </w:rPr>
        <w:t xml:space="preserve">Palume Transpordiametil kaaluda valmisolekut lepingutingimuste muutmiseks ning pakkuda sobiv aeg läbirääkimisteks, et ühiselt kokku leppida täpne kompenseerimismehhanism, mis oleks kooskõlas hea usu ja mõistlikkuse põhimõtetega (VÕS § 13, VÕS § 26 lg 3). </w:t>
      </w:r>
    </w:p>
    <w:p w14:paraId="778EBF63" w14:textId="77777777" w:rsidR="009E4DF7" w:rsidRPr="009E4DF7" w:rsidRDefault="00A56B06" w:rsidP="009E4DF7">
      <w:pPr>
        <w:suppressAutoHyphens w:val="0"/>
        <w:spacing w:after="160" w:line="259" w:lineRule="auto"/>
        <w:rPr>
          <w:rFonts w:ascii="Calibri" w:eastAsia="Calibri" w:hAnsi="Calibri" w:cs="Times New Roman"/>
          <w:lang w:eastAsia="en-US"/>
        </w:rPr>
      </w:pPr>
      <w:r w:rsidRPr="009E4DF7">
        <w:rPr>
          <w:rFonts w:ascii="Calibri" w:eastAsia="Calibri" w:hAnsi="Calibri" w:cs="Times New Roman"/>
          <w:lang w:eastAsia="en-US"/>
        </w:rPr>
        <w:t xml:space="preserve">Täiendava informatsiooni saamisel teavitame Teid sellest viivitamatult. </w:t>
      </w:r>
    </w:p>
    <w:p w14:paraId="3A5142C2" w14:textId="7B72F182" w:rsidR="009E4DF7" w:rsidRDefault="005B4A2E" w:rsidP="009E4DF7">
      <w:pPr>
        <w:suppressAutoHyphens w:val="0"/>
        <w:spacing w:after="160" w:line="259" w:lineRule="auto"/>
        <w:rPr>
          <w:rFonts w:ascii="Calibri" w:eastAsia="Calibri" w:hAnsi="Calibri" w:cs="Times New Roman"/>
          <w:lang w:eastAsia="en-US"/>
        </w:rPr>
      </w:pPr>
      <w:r>
        <w:rPr>
          <w:rFonts w:ascii="Calibri" w:eastAsia="Calibri" w:hAnsi="Calibri" w:cs="Times New Roman"/>
          <w:lang w:eastAsia="en-US"/>
        </w:rPr>
        <w:t>Teie mõistvale suhtumisele lootma jäädes,</w:t>
      </w:r>
    </w:p>
    <w:p w14:paraId="2CC7CDF6" w14:textId="07584359" w:rsidR="000D70E1" w:rsidRDefault="000D70E1" w:rsidP="000D70E1">
      <w:pPr>
        <w:pStyle w:val="BodyText"/>
        <w:rPr>
          <w:rFonts w:asciiTheme="minorHAnsi" w:hAnsiTheme="minorHAnsi" w:cstheme="minorHAnsi"/>
          <w:sz w:val="22"/>
        </w:rPr>
      </w:pPr>
    </w:p>
    <w:p w14:paraId="16D7D110" w14:textId="18FD8194" w:rsidR="00C2602C" w:rsidRPr="00C2602C" w:rsidRDefault="00A56B06" w:rsidP="000D70E1">
      <w:pPr>
        <w:pStyle w:val="BodyText"/>
        <w:rPr>
          <w:rFonts w:asciiTheme="minorHAnsi" w:hAnsiTheme="minorHAnsi" w:cstheme="minorHAnsi"/>
          <w:i/>
          <w:iCs/>
          <w:sz w:val="22"/>
        </w:rPr>
      </w:pPr>
      <w:r w:rsidRPr="00C2602C">
        <w:rPr>
          <w:rFonts w:asciiTheme="minorHAnsi" w:hAnsiTheme="minorHAnsi" w:cstheme="minorHAnsi"/>
          <w:i/>
          <w:iCs/>
          <w:sz w:val="22"/>
        </w:rPr>
        <w:t>/allkirjastatud digitaalselt/</w:t>
      </w:r>
    </w:p>
    <w:p w14:paraId="2D43819B" w14:textId="77777777" w:rsidR="00C2602C" w:rsidRDefault="00C2602C" w:rsidP="000D70E1">
      <w:pPr>
        <w:pStyle w:val="BodyText"/>
        <w:rPr>
          <w:rFonts w:asciiTheme="minorHAnsi" w:hAnsiTheme="minorHAnsi" w:cstheme="minorHAnsi"/>
          <w:sz w:val="22"/>
        </w:rPr>
      </w:pPr>
    </w:p>
    <w:p w14:paraId="70EA55E8" w14:textId="3E2A06BB" w:rsidR="00C2602C" w:rsidRDefault="00D111AD" w:rsidP="000D70E1">
      <w:pPr>
        <w:pStyle w:val="BodyText"/>
        <w:rPr>
          <w:rFonts w:asciiTheme="minorHAnsi" w:hAnsiTheme="minorHAnsi" w:cstheme="minorHAnsi"/>
          <w:sz w:val="22"/>
        </w:rPr>
      </w:pPr>
      <w:r>
        <w:rPr>
          <w:rFonts w:asciiTheme="minorHAnsi" w:hAnsiTheme="minorHAnsi" w:cstheme="minorHAnsi"/>
          <w:sz w:val="22"/>
        </w:rPr>
        <w:t>Meelis Seppam</w:t>
      </w:r>
    </w:p>
    <w:p w14:paraId="4F3E21CC" w14:textId="77777777" w:rsidR="00EC08DD" w:rsidRDefault="00A56B06" w:rsidP="000D70E1">
      <w:pPr>
        <w:pStyle w:val="BodyText"/>
        <w:rPr>
          <w:rFonts w:asciiTheme="minorHAnsi" w:hAnsiTheme="minorHAnsi" w:cstheme="minorHAnsi"/>
          <w:sz w:val="22"/>
        </w:rPr>
      </w:pPr>
      <w:r>
        <w:rPr>
          <w:rFonts w:asciiTheme="minorHAnsi" w:hAnsiTheme="minorHAnsi" w:cstheme="minorHAnsi"/>
          <w:sz w:val="22"/>
        </w:rPr>
        <w:t>AS TREV-2 Grupp</w:t>
      </w:r>
    </w:p>
    <w:p w14:paraId="546E24BE" w14:textId="7B6DCBA2" w:rsidR="00EC08DD" w:rsidRDefault="00D111AD" w:rsidP="000D70E1">
      <w:pPr>
        <w:pStyle w:val="BodyText"/>
        <w:rPr>
          <w:rFonts w:asciiTheme="minorHAnsi" w:hAnsiTheme="minorHAnsi" w:cstheme="minorHAnsi"/>
          <w:sz w:val="22"/>
        </w:rPr>
      </w:pPr>
      <w:r>
        <w:rPr>
          <w:rFonts w:asciiTheme="minorHAnsi" w:hAnsiTheme="minorHAnsi" w:cstheme="minorHAnsi"/>
          <w:sz w:val="22"/>
        </w:rPr>
        <w:t>Teehooldetööde</w:t>
      </w:r>
      <w:r w:rsidR="00A56B06" w:rsidRPr="00EC08DD">
        <w:rPr>
          <w:rFonts w:asciiTheme="minorHAnsi" w:hAnsiTheme="minorHAnsi" w:cstheme="minorHAnsi"/>
          <w:sz w:val="22"/>
        </w:rPr>
        <w:t xml:space="preserve"> valdkonna juht</w:t>
      </w:r>
    </w:p>
    <w:p w14:paraId="6CF67E9C" w14:textId="77777777" w:rsidR="00C2602C" w:rsidRPr="00EC3EFC" w:rsidRDefault="00C2602C" w:rsidP="000D70E1">
      <w:pPr>
        <w:pStyle w:val="BodyText"/>
        <w:rPr>
          <w:rFonts w:asciiTheme="minorHAnsi" w:hAnsiTheme="minorHAnsi" w:cstheme="minorHAnsi"/>
          <w:sz w:val="22"/>
        </w:rPr>
      </w:pPr>
    </w:p>
    <w:p w14:paraId="45C4E8DF" w14:textId="77777777" w:rsidR="000D70E1" w:rsidRPr="00EC3EFC" w:rsidRDefault="000D70E1" w:rsidP="000D70E1">
      <w:pPr>
        <w:rPr>
          <w:rFonts w:asciiTheme="minorHAnsi" w:hAnsiTheme="minorHAnsi" w:cstheme="minorHAnsi"/>
          <w:color w:val="808080"/>
        </w:rPr>
      </w:pPr>
    </w:p>
    <w:p w14:paraId="2E269E76" w14:textId="77777777" w:rsidR="000D70E1" w:rsidRPr="00EC3EFC" w:rsidRDefault="000D70E1" w:rsidP="000D70E1">
      <w:pPr>
        <w:rPr>
          <w:rFonts w:asciiTheme="minorHAnsi" w:hAnsiTheme="minorHAnsi" w:cstheme="minorHAnsi"/>
          <w:color w:val="808080"/>
        </w:rPr>
      </w:pPr>
    </w:p>
    <w:p w14:paraId="7287DDD6" w14:textId="77777777" w:rsidR="000D70E1" w:rsidRPr="00EC3EFC" w:rsidRDefault="000D70E1" w:rsidP="000D70E1">
      <w:pPr>
        <w:rPr>
          <w:rFonts w:asciiTheme="minorHAnsi" w:hAnsiTheme="minorHAnsi" w:cstheme="minorHAnsi"/>
          <w:color w:val="808080"/>
        </w:rPr>
      </w:pPr>
    </w:p>
    <w:p w14:paraId="61564DD5" w14:textId="77777777" w:rsidR="000D70E1" w:rsidRPr="00EC3EFC" w:rsidRDefault="000D70E1" w:rsidP="000D70E1">
      <w:pPr>
        <w:rPr>
          <w:rFonts w:asciiTheme="minorHAnsi" w:hAnsiTheme="minorHAnsi" w:cstheme="minorHAnsi"/>
          <w:color w:val="808080"/>
        </w:rPr>
      </w:pPr>
    </w:p>
    <w:sectPr w:rsidR="000D70E1" w:rsidRPr="00EC3EFC" w:rsidSect="0004016F">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code="9"/>
      <w:pgMar w:top="1985" w:right="1134" w:bottom="1418" w:left="1418" w:header="397" w:footer="283"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21A7" w14:textId="77777777" w:rsidR="00A56B06" w:rsidRDefault="00A56B06">
      <w:r>
        <w:separator/>
      </w:r>
    </w:p>
  </w:endnote>
  <w:endnote w:type="continuationSeparator" w:id="0">
    <w:p w14:paraId="6964620E" w14:textId="77777777" w:rsidR="00A56B06" w:rsidRDefault="00A5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979B" w14:textId="77777777" w:rsidR="006500E5" w:rsidRDefault="00650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19C0" w14:textId="30AC64A7" w:rsidR="005E3607" w:rsidRPr="009E4DF7" w:rsidRDefault="00A56B06">
    <w:pPr>
      <w:pStyle w:val="Footer"/>
      <w:rPr>
        <w:rFonts w:ascii="Calibri" w:hAnsi="Calibri"/>
        <w:i/>
        <w:iCs/>
        <w:sz w:val="18"/>
        <w:szCs w:val="18"/>
      </w:rPr>
    </w:pPr>
    <w:r>
      <w:rPr>
        <w:rFonts w:ascii="Calibri" w:hAnsi="Calibri"/>
        <w:i/>
        <w:iCs/>
        <w:sz w:val="18"/>
        <w:szCs w:val="18"/>
      </w:rPr>
      <w:pict w14:anchorId="67456F99">
        <v:rect id="_x0000_i1025" style="width:0;height:1.5pt" o:hralign="center" o:hrstd="t" o:hr="t" fillcolor="#a0a0a0" stroked="f"/>
      </w:pict>
    </w:r>
  </w:p>
  <w:tbl>
    <w:tblPr>
      <w:tblW w:w="5000" w:type="pct"/>
      <w:tblLook w:val="0000" w:firstRow="0" w:lastRow="0" w:firstColumn="0" w:lastColumn="0" w:noHBand="0" w:noVBand="0"/>
    </w:tblPr>
    <w:tblGrid>
      <w:gridCol w:w="2410"/>
      <w:gridCol w:w="2268"/>
      <w:gridCol w:w="2698"/>
      <w:gridCol w:w="1977"/>
    </w:tblGrid>
    <w:tr w:rsidR="00CE16D1" w14:paraId="646890A2" w14:textId="77777777" w:rsidTr="618F890A">
      <w:trPr>
        <w:trHeight w:val="845"/>
      </w:trPr>
      <w:tc>
        <w:tcPr>
          <w:tcW w:w="1288" w:type="pct"/>
        </w:tcPr>
        <w:p w14:paraId="765CC2BF" w14:textId="75F6BAFE" w:rsidR="005E3607" w:rsidRPr="009E4DF7" w:rsidRDefault="00A56B06" w:rsidP="00726438">
          <w:pPr>
            <w:pStyle w:val="Footer"/>
            <w:rPr>
              <w:rFonts w:ascii="Calibri" w:hAnsi="Calibri"/>
              <w:iCs/>
              <w:sz w:val="18"/>
              <w:szCs w:val="18"/>
            </w:rPr>
          </w:pPr>
          <w:r w:rsidRPr="009E4DF7">
            <w:rPr>
              <w:rFonts w:ascii="Calibri" w:hAnsi="Calibri"/>
              <w:iCs/>
              <w:noProof/>
              <w:sz w:val="18"/>
              <w:szCs w:val="18"/>
            </w:rPr>
            <w:drawing>
              <wp:inline distT="0" distB="0" distL="0" distR="0" wp14:anchorId="6D775390" wp14:editId="15CDB839">
                <wp:extent cx="1285875" cy="473042"/>
                <wp:effectExtent l="0" t="0" r="0" b="3810"/>
                <wp:docPr id="59041097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0975" name=""/>
                        <pic:cNvPicPr/>
                      </pic:nvPicPr>
                      <pic:blipFill>
                        <a:blip r:embed="rId1"/>
                        <a:stretch>
                          <a:fillRect/>
                        </a:stretch>
                      </pic:blipFill>
                      <pic:spPr>
                        <a:xfrm>
                          <a:off x="0" y="0"/>
                          <a:ext cx="1316294" cy="484232"/>
                        </a:xfrm>
                        <a:prstGeom prst="rect">
                          <a:avLst/>
                        </a:prstGeom>
                      </pic:spPr>
                    </pic:pic>
                  </a:graphicData>
                </a:graphic>
              </wp:inline>
            </w:drawing>
          </w:r>
        </w:p>
      </w:tc>
      <w:tc>
        <w:tcPr>
          <w:tcW w:w="1212" w:type="pct"/>
        </w:tcPr>
        <w:p w14:paraId="5FA81E15" w14:textId="77777777" w:rsidR="005E3607" w:rsidRPr="009E4DF7" w:rsidRDefault="00A56B06" w:rsidP="00441EA8">
          <w:pPr>
            <w:pStyle w:val="Footer"/>
            <w:snapToGrid w:val="0"/>
            <w:rPr>
              <w:rFonts w:ascii="Calibri" w:hAnsi="Calibri"/>
              <w:b/>
              <w:bCs/>
              <w:iCs/>
              <w:sz w:val="18"/>
              <w:szCs w:val="18"/>
            </w:rPr>
          </w:pPr>
          <w:r w:rsidRPr="009E4DF7">
            <w:rPr>
              <w:rFonts w:ascii="Calibri" w:hAnsi="Calibri"/>
              <w:b/>
              <w:bCs/>
              <w:iCs/>
              <w:sz w:val="18"/>
              <w:szCs w:val="18"/>
            </w:rPr>
            <w:t>AS TREV-2 Grupp</w:t>
          </w:r>
        </w:p>
        <w:p w14:paraId="4F96FFD8" w14:textId="77777777" w:rsidR="005E3607" w:rsidRPr="009E4DF7" w:rsidRDefault="00A56B06" w:rsidP="00441EA8">
          <w:pPr>
            <w:pStyle w:val="Footer"/>
            <w:rPr>
              <w:rFonts w:ascii="Calibri" w:hAnsi="Calibri"/>
              <w:iCs/>
              <w:sz w:val="18"/>
              <w:szCs w:val="18"/>
            </w:rPr>
          </w:pPr>
          <w:r w:rsidRPr="009E4DF7">
            <w:rPr>
              <w:rFonts w:ascii="Calibri" w:hAnsi="Calibri"/>
              <w:iCs/>
              <w:sz w:val="18"/>
              <w:szCs w:val="18"/>
            </w:rPr>
            <w:t>Registrikood 10047362</w:t>
          </w:r>
        </w:p>
        <w:p w14:paraId="6EE1D0BE" w14:textId="77777777" w:rsidR="005E3607" w:rsidRPr="009E4DF7" w:rsidRDefault="00A56B06" w:rsidP="00441EA8">
          <w:pPr>
            <w:pStyle w:val="Footer"/>
            <w:rPr>
              <w:rFonts w:ascii="Calibri" w:hAnsi="Calibri"/>
              <w:iCs/>
              <w:sz w:val="18"/>
              <w:szCs w:val="18"/>
            </w:rPr>
          </w:pPr>
          <w:r w:rsidRPr="009E4DF7">
            <w:rPr>
              <w:rFonts w:ascii="Calibri" w:hAnsi="Calibri"/>
              <w:iCs/>
              <w:sz w:val="18"/>
              <w:szCs w:val="18"/>
            </w:rPr>
            <w:t>KMKR EE100280335</w:t>
          </w:r>
        </w:p>
      </w:tc>
      <w:tc>
        <w:tcPr>
          <w:tcW w:w="1442" w:type="pct"/>
        </w:tcPr>
        <w:p w14:paraId="6811E99B" w14:textId="145DCB4D" w:rsidR="005E3607" w:rsidRPr="009E4DF7" w:rsidRDefault="00A56B06" w:rsidP="00FA09DB">
          <w:pPr>
            <w:snapToGrid w:val="0"/>
            <w:rPr>
              <w:rFonts w:ascii="Calibri" w:hAnsi="Calibri"/>
              <w:iCs/>
              <w:sz w:val="18"/>
              <w:szCs w:val="18"/>
            </w:rPr>
          </w:pPr>
          <w:r w:rsidRPr="009E4DF7">
            <w:rPr>
              <w:rFonts w:ascii="Calibri" w:hAnsi="Calibri"/>
              <w:iCs/>
              <w:sz w:val="18"/>
              <w:szCs w:val="18"/>
            </w:rPr>
            <w:t>Mäealuse tn 2/4, 12618 Tallinn</w:t>
          </w:r>
        </w:p>
        <w:p w14:paraId="123BBE65" w14:textId="77777777" w:rsidR="005E3607" w:rsidRPr="009E4DF7" w:rsidRDefault="00A56B06" w:rsidP="00441EA8">
          <w:pPr>
            <w:snapToGrid w:val="0"/>
            <w:rPr>
              <w:rFonts w:ascii="Calibri" w:hAnsi="Calibri"/>
              <w:iCs/>
              <w:sz w:val="18"/>
              <w:szCs w:val="18"/>
            </w:rPr>
          </w:pPr>
          <w:r w:rsidRPr="009E4DF7">
            <w:rPr>
              <w:rFonts w:ascii="Calibri" w:hAnsi="Calibri"/>
              <w:iCs/>
              <w:sz w:val="18"/>
              <w:szCs w:val="18"/>
            </w:rPr>
            <w:t xml:space="preserve">www.trev2.ee </w:t>
          </w:r>
        </w:p>
        <w:p w14:paraId="1903EF6D" w14:textId="47C4CD2F" w:rsidR="005E3607" w:rsidRPr="009E4DF7" w:rsidRDefault="005E3607" w:rsidP="00441EA8">
          <w:pPr>
            <w:snapToGrid w:val="0"/>
            <w:rPr>
              <w:rFonts w:ascii="Calibri" w:hAnsi="Calibri"/>
              <w:iCs/>
              <w:sz w:val="18"/>
              <w:szCs w:val="18"/>
            </w:rPr>
          </w:pPr>
        </w:p>
      </w:tc>
      <w:tc>
        <w:tcPr>
          <w:tcW w:w="1057" w:type="pct"/>
        </w:tcPr>
        <w:p w14:paraId="42FBA8DE" w14:textId="2DE80616" w:rsidR="005E3607" w:rsidRPr="009E4DF7" w:rsidRDefault="00A56B06" w:rsidP="00011C5B">
          <w:pPr>
            <w:pStyle w:val="Footer"/>
            <w:snapToGrid w:val="0"/>
            <w:rPr>
              <w:rFonts w:ascii="Calibri" w:hAnsi="Calibri"/>
              <w:iCs/>
              <w:sz w:val="18"/>
              <w:szCs w:val="18"/>
            </w:rPr>
          </w:pPr>
          <w:r w:rsidRPr="009E4DF7">
            <w:rPr>
              <w:rFonts w:ascii="Calibri" w:hAnsi="Calibri"/>
              <w:iCs/>
              <w:sz w:val="18"/>
              <w:szCs w:val="18"/>
            </w:rPr>
            <w:t>Telefon: +372 677 6500</w:t>
          </w:r>
        </w:p>
        <w:p w14:paraId="14BF5832" w14:textId="262E8F0C" w:rsidR="005E3607" w:rsidRPr="009E4DF7" w:rsidRDefault="00A56B06" w:rsidP="00441EA8">
          <w:pPr>
            <w:pStyle w:val="Footer"/>
            <w:snapToGrid w:val="0"/>
            <w:rPr>
              <w:rFonts w:ascii="Calibri" w:hAnsi="Calibri"/>
              <w:iCs/>
              <w:sz w:val="18"/>
              <w:szCs w:val="18"/>
            </w:rPr>
          </w:pPr>
          <w:r w:rsidRPr="009E4DF7">
            <w:rPr>
              <w:rFonts w:ascii="Calibri" w:hAnsi="Calibri"/>
              <w:iCs/>
              <w:sz w:val="18"/>
              <w:szCs w:val="18"/>
            </w:rPr>
            <w:t xml:space="preserve">E-post: trev2@trev2.ee </w:t>
          </w:r>
        </w:p>
        <w:p w14:paraId="224FA48E" w14:textId="5D0E3F55" w:rsidR="005E3607" w:rsidRPr="009E4DF7" w:rsidRDefault="005E3607" w:rsidP="00011C5B">
          <w:pPr>
            <w:pStyle w:val="Footer"/>
            <w:snapToGrid w:val="0"/>
            <w:rPr>
              <w:rFonts w:ascii="Calibri" w:hAnsi="Calibri"/>
              <w:iCs/>
              <w:sz w:val="18"/>
              <w:szCs w:val="18"/>
            </w:rPr>
          </w:pPr>
        </w:p>
      </w:tc>
    </w:tr>
  </w:tbl>
  <w:p w14:paraId="1A8187C5" w14:textId="77777777" w:rsidR="005E3607" w:rsidRPr="009E4DF7" w:rsidRDefault="005E3607" w:rsidP="0004016F">
    <w:pPr>
      <w:pStyle w:val="Footer"/>
      <w:rPr>
        <w:rFonts w:ascii="Calibri" w:hAnsi="Calibri"/>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3A2B" w14:textId="77777777" w:rsidR="006500E5" w:rsidRDefault="0065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90B6" w14:textId="77777777" w:rsidR="00A56B06" w:rsidRDefault="00A56B06">
      <w:r>
        <w:separator/>
      </w:r>
    </w:p>
  </w:footnote>
  <w:footnote w:type="continuationSeparator" w:id="0">
    <w:p w14:paraId="36387B3B" w14:textId="77777777" w:rsidR="00A56B06" w:rsidRDefault="00A5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1F4" w14:textId="77777777" w:rsidR="006500E5" w:rsidRDefault="00650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3BD1" w14:textId="77777777" w:rsidR="005E3607" w:rsidRDefault="00A56B06" w:rsidP="006B6B20">
    <w:pPr>
      <w:pStyle w:val="Header"/>
      <w:ind w:right="-399"/>
      <w:jc w:val="right"/>
    </w:pPr>
    <w:r>
      <w:rPr>
        <w:noProof/>
        <w:lang w:eastAsia="et-EE"/>
      </w:rPr>
      <w:drawing>
        <wp:anchor distT="0" distB="0" distL="114300" distR="114300" simplePos="0" relativeHeight="251658240" behindDoc="1" locked="0" layoutInCell="1" allowOverlap="1" wp14:anchorId="133F6BEE" wp14:editId="031C3DB1">
          <wp:simplePos x="0" y="0"/>
          <wp:positionH relativeFrom="column">
            <wp:posOffset>3063240</wp:posOffset>
          </wp:positionH>
          <wp:positionV relativeFrom="paragraph">
            <wp:posOffset>-252095</wp:posOffset>
          </wp:positionV>
          <wp:extent cx="3596005" cy="788035"/>
          <wp:effectExtent l="0" t="0" r="4445" b="0"/>
          <wp:wrapTight wrapText="bothSides">
            <wp:wrapPolygon edited="0">
              <wp:start x="0" y="0"/>
              <wp:lineTo x="0" y="20886"/>
              <wp:lineTo x="21512" y="20886"/>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EV2_Grup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9600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7EE3" w14:textId="77777777" w:rsidR="006500E5" w:rsidRDefault="0065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307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56"/>
    <w:rsid w:val="000058C6"/>
    <w:rsid w:val="00011C5B"/>
    <w:rsid w:val="0004016F"/>
    <w:rsid w:val="00047C0E"/>
    <w:rsid w:val="0006175E"/>
    <w:rsid w:val="00082C1C"/>
    <w:rsid w:val="00091F11"/>
    <w:rsid w:val="000C696F"/>
    <w:rsid w:val="000D70E1"/>
    <w:rsid w:val="000F055C"/>
    <w:rsid w:val="00124956"/>
    <w:rsid w:val="00142467"/>
    <w:rsid w:val="00150160"/>
    <w:rsid w:val="00186DEB"/>
    <w:rsid w:val="001969A7"/>
    <w:rsid w:val="001B2A23"/>
    <w:rsid w:val="00266385"/>
    <w:rsid w:val="002955CD"/>
    <w:rsid w:val="002B6847"/>
    <w:rsid w:val="002C1FC6"/>
    <w:rsid w:val="002E69B1"/>
    <w:rsid w:val="00302FE7"/>
    <w:rsid w:val="0031184E"/>
    <w:rsid w:val="00370B7B"/>
    <w:rsid w:val="00384E09"/>
    <w:rsid w:val="00390F2F"/>
    <w:rsid w:val="003E0238"/>
    <w:rsid w:val="003F4AF3"/>
    <w:rsid w:val="004414E9"/>
    <w:rsid w:val="00441EA8"/>
    <w:rsid w:val="004503CA"/>
    <w:rsid w:val="0045208A"/>
    <w:rsid w:val="00493F24"/>
    <w:rsid w:val="004B3EB8"/>
    <w:rsid w:val="004E3812"/>
    <w:rsid w:val="004E3F8D"/>
    <w:rsid w:val="00554D86"/>
    <w:rsid w:val="005B4A2E"/>
    <w:rsid w:val="005E3607"/>
    <w:rsid w:val="00614BC4"/>
    <w:rsid w:val="006500E5"/>
    <w:rsid w:val="006545C6"/>
    <w:rsid w:val="0067714E"/>
    <w:rsid w:val="006863C5"/>
    <w:rsid w:val="006869A0"/>
    <w:rsid w:val="006B6B20"/>
    <w:rsid w:val="006F71B5"/>
    <w:rsid w:val="00726438"/>
    <w:rsid w:val="00754D5C"/>
    <w:rsid w:val="007A110A"/>
    <w:rsid w:val="008462CE"/>
    <w:rsid w:val="00850CF8"/>
    <w:rsid w:val="008542F0"/>
    <w:rsid w:val="008A2652"/>
    <w:rsid w:val="008F700C"/>
    <w:rsid w:val="0091221B"/>
    <w:rsid w:val="00985476"/>
    <w:rsid w:val="009B4825"/>
    <w:rsid w:val="009B52A0"/>
    <w:rsid w:val="009E4DF7"/>
    <w:rsid w:val="00A05454"/>
    <w:rsid w:val="00A15EA9"/>
    <w:rsid w:val="00A172ED"/>
    <w:rsid w:val="00A205ED"/>
    <w:rsid w:val="00A26F24"/>
    <w:rsid w:val="00A30FE9"/>
    <w:rsid w:val="00A43480"/>
    <w:rsid w:val="00A56B06"/>
    <w:rsid w:val="00AB1851"/>
    <w:rsid w:val="00AE07DA"/>
    <w:rsid w:val="00AE0C81"/>
    <w:rsid w:val="00AE5144"/>
    <w:rsid w:val="00B72751"/>
    <w:rsid w:val="00B84FF7"/>
    <w:rsid w:val="00BE71F2"/>
    <w:rsid w:val="00BF3E06"/>
    <w:rsid w:val="00C2602C"/>
    <w:rsid w:val="00C30057"/>
    <w:rsid w:val="00CB3404"/>
    <w:rsid w:val="00CE16D1"/>
    <w:rsid w:val="00CE5277"/>
    <w:rsid w:val="00CF4836"/>
    <w:rsid w:val="00D111AD"/>
    <w:rsid w:val="00D26880"/>
    <w:rsid w:val="00D6510D"/>
    <w:rsid w:val="00D67B42"/>
    <w:rsid w:val="00D756D4"/>
    <w:rsid w:val="00DB7B7E"/>
    <w:rsid w:val="00DC36E8"/>
    <w:rsid w:val="00DC578D"/>
    <w:rsid w:val="00DE621B"/>
    <w:rsid w:val="00E256DD"/>
    <w:rsid w:val="00EA609A"/>
    <w:rsid w:val="00EB1147"/>
    <w:rsid w:val="00EC08DD"/>
    <w:rsid w:val="00EC3EFC"/>
    <w:rsid w:val="00ED2647"/>
    <w:rsid w:val="00F5349B"/>
    <w:rsid w:val="00F6434A"/>
    <w:rsid w:val="00F6670A"/>
    <w:rsid w:val="00F90873"/>
    <w:rsid w:val="00F95848"/>
    <w:rsid w:val="00FA09DB"/>
    <w:rsid w:val="00FB6B7B"/>
    <w:rsid w:val="00FE26A3"/>
    <w:rsid w:val="00FF1A91"/>
    <w:rsid w:val="00FF4D6F"/>
    <w:rsid w:val="618F890A"/>
  </w:rsids>
  <m:mathPr>
    <m:mathFont m:val="Cambria Math"/>
    <m:brkBin m:val="before"/>
    <m:brkBinSub m:val="--"/>
    <m:smallFrac m:val="0"/>
    <m:dispDef/>
    <m:lMargin m:val="0"/>
    <m:rMargin m:val="0"/>
    <m:defJc m:val="centerGroup"/>
    <m:wrapIndent m:val="1440"/>
    <m:intLim m:val="subSup"/>
    <m:naryLim m:val="undOvr"/>
  </m:mathPr>
  <w:themeFontLang w:val="et-EE"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7898"/>
  <w15:docId w15:val="{2BA3B81F-A3A8-4377-92BE-1C95F49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Frutiger" w:hAnsi="Frutiger" w:cs="Frutiger"/>
      <w:sz w:val="22"/>
      <w:szCs w:val="22"/>
      <w:lang w:eastAsia="ar-SA"/>
    </w:rPr>
  </w:style>
  <w:style w:type="paragraph" w:styleId="Heading1">
    <w:name w:val="heading 1"/>
    <w:basedOn w:val="Heading"/>
    <w:next w:val="BodyText"/>
    <w:qFormat/>
    <w:pPr>
      <w:numPr>
        <w:numId w:val="1"/>
      </w:numPr>
      <w:outlineLvl w:val="0"/>
    </w:pPr>
    <w:rPr>
      <w:bCs/>
      <w:sz w:val="22"/>
      <w:szCs w:val="32"/>
    </w:rPr>
  </w:style>
  <w:style w:type="paragraph" w:styleId="Heading2">
    <w:name w:val="heading 2"/>
    <w:basedOn w:val="Heading"/>
    <w:next w:val="BodyText"/>
    <w:qFormat/>
    <w:pPr>
      <w:numPr>
        <w:ilvl w:val="1"/>
        <w:numId w:val="1"/>
      </w:numPr>
      <w:outlineLvl w:val="1"/>
    </w:pPr>
    <w:rPr>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customStyle="1" w:styleId="Heading">
    <w:name w:val="Heading"/>
    <w:basedOn w:val="Normal"/>
    <w:next w:val="BodyText"/>
    <w:pPr>
      <w:keepNext/>
    </w:pPr>
    <w:rPr>
      <w:rFonts w:eastAsia="MS Mincho" w:cs="Tahoma"/>
      <w:b/>
      <w:sz w:val="24"/>
      <w:szCs w:val="28"/>
    </w:rPr>
  </w:style>
  <w:style w:type="paragraph" w:styleId="List">
    <w:name w:val="List"/>
    <w:basedOn w:val="BodyText"/>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9B4825"/>
    <w:rPr>
      <w:rFonts w:ascii="Tahoma" w:hAnsi="Tahoma" w:cs="Tahoma"/>
      <w:sz w:val="16"/>
      <w:szCs w:val="16"/>
    </w:rPr>
  </w:style>
  <w:style w:type="character" w:customStyle="1" w:styleId="BalloonTextChar">
    <w:name w:val="Balloon Text Char"/>
    <w:basedOn w:val="DefaultParagraphFont"/>
    <w:link w:val="BalloonText"/>
    <w:rsid w:val="009B4825"/>
    <w:rPr>
      <w:rFonts w:ascii="Tahoma" w:hAnsi="Tahoma" w:cs="Tahoma"/>
      <w:sz w:val="16"/>
      <w:szCs w:val="16"/>
      <w:lang w:eastAsia="ar-SA"/>
    </w:rPr>
  </w:style>
  <w:style w:type="character" w:styleId="Hyperlink">
    <w:name w:val="Hyperlink"/>
    <w:basedOn w:val="DefaultParagraphFont"/>
    <w:unhideWhenUsed/>
    <w:rsid w:val="00CF4836"/>
    <w:rPr>
      <w:color w:val="0000FF" w:themeColor="hyperlink"/>
      <w:u w:val="single"/>
    </w:rPr>
  </w:style>
  <w:style w:type="character" w:styleId="UnresolvedMention">
    <w:name w:val="Unresolved Mention"/>
    <w:basedOn w:val="DefaultParagraphFont"/>
    <w:uiPriority w:val="99"/>
    <w:semiHidden/>
    <w:unhideWhenUsed/>
    <w:rsid w:val="00CF4836"/>
    <w:rPr>
      <w:color w:val="605E5C"/>
      <w:shd w:val="clear" w:color="auto" w:fill="E1DFDD"/>
    </w:rPr>
  </w:style>
  <w:style w:type="character" w:customStyle="1" w:styleId="BodyTextChar">
    <w:name w:val="Body Text Char"/>
    <w:basedOn w:val="DefaultParagraphFont"/>
    <w:link w:val="BodyText"/>
    <w:rsid w:val="000D70E1"/>
    <w:rPr>
      <w:rFonts w:ascii="Frutiger" w:hAnsi="Frutiger" w:cs="Frutiger"/>
      <w:szCs w:val="22"/>
      <w:lang w:eastAsia="ar-SA"/>
    </w:rPr>
  </w:style>
  <w:style w:type="paragraph" w:styleId="Revision">
    <w:name w:val="Revision"/>
    <w:hidden/>
    <w:uiPriority w:val="99"/>
    <w:semiHidden/>
    <w:rsid w:val="00850CF8"/>
    <w:rPr>
      <w:rFonts w:ascii="Frutiger" w:hAnsi="Frutiger" w:cs="Frutiger"/>
      <w:sz w:val="22"/>
      <w:szCs w:val="22"/>
      <w:lang w:eastAsia="ar-SA"/>
    </w:rPr>
  </w:style>
  <w:style w:type="character" w:styleId="CommentReference">
    <w:name w:val="annotation reference"/>
    <w:basedOn w:val="DefaultParagraphFont"/>
    <w:semiHidden/>
    <w:unhideWhenUsed/>
    <w:rsid w:val="00850CF8"/>
    <w:rPr>
      <w:sz w:val="16"/>
      <w:szCs w:val="16"/>
    </w:rPr>
  </w:style>
  <w:style w:type="paragraph" w:styleId="CommentText">
    <w:name w:val="annotation text"/>
    <w:basedOn w:val="Normal"/>
    <w:link w:val="CommentTextChar"/>
    <w:unhideWhenUsed/>
    <w:rsid w:val="00850CF8"/>
    <w:rPr>
      <w:sz w:val="20"/>
      <w:szCs w:val="20"/>
    </w:rPr>
  </w:style>
  <w:style w:type="character" w:customStyle="1" w:styleId="CommentTextChar">
    <w:name w:val="Comment Text Char"/>
    <w:basedOn w:val="DefaultParagraphFont"/>
    <w:link w:val="CommentText"/>
    <w:rsid w:val="00850CF8"/>
    <w:rPr>
      <w:rFonts w:ascii="Frutiger" w:hAnsi="Frutiger" w:cs="Frutiger"/>
      <w:lang w:eastAsia="ar-SA"/>
    </w:rPr>
  </w:style>
  <w:style w:type="paragraph" w:styleId="CommentSubject">
    <w:name w:val="annotation subject"/>
    <w:basedOn w:val="CommentText"/>
    <w:next w:val="CommentText"/>
    <w:link w:val="CommentSubjectChar"/>
    <w:semiHidden/>
    <w:unhideWhenUsed/>
    <w:rsid w:val="00850CF8"/>
    <w:rPr>
      <w:b/>
      <w:bCs/>
    </w:rPr>
  </w:style>
  <w:style w:type="character" w:customStyle="1" w:styleId="CommentSubjectChar">
    <w:name w:val="Comment Subject Char"/>
    <w:basedOn w:val="CommentTextChar"/>
    <w:link w:val="CommentSubject"/>
    <w:semiHidden/>
    <w:rsid w:val="00850CF8"/>
    <w:rPr>
      <w:rFonts w:ascii="Frutiger" w:hAnsi="Frutiger" w:cs="Frutige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pordiamet.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r.unt@transpordiamet.e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2F55-47FD-4D44-B12E-DC9DA35D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606</Words>
  <Characters>3518</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Meelis Seppam</cp:lastModifiedBy>
  <cp:revision>6</cp:revision>
  <dcterms:created xsi:type="dcterms:W3CDTF">2026-04-17T05:06:00Z</dcterms:created>
  <dcterms:modified xsi:type="dcterms:W3CDTF">2026-04-17T05:16:00Z</dcterms:modified>
</cp:coreProperties>
</file>